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C84727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727" w:rsidRDefault="00A01DB5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C84727" w:rsidRDefault="00A01DB5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МО "Новодевяткинское сельское поселение" </w:t>
            </w:r>
          </w:p>
          <w:p w:rsidR="00C84727" w:rsidRDefault="00A01DB5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16 </w:t>
            </w:r>
          </w:p>
          <w:p w:rsidR="00C84727" w:rsidRDefault="00C84727"/>
          <w:p w:rsidR="00C84727" w:rsidRDefault="00C84727"/>
          <w:p w:rsidR="00C84727" w:rsidRDefault="00C84727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Layout w:type="fixed"/>
              <w:tblLook w:val="01E0" w:firstRow="1" w:lastRow="1" w:firstColumn="1" w:lastColumn="1" w:noHBand="0" w:noVBand="0"/>
            </w:tblPr>
            <w:tblGrid>
              <w:gridCol w:w="5137"/>
              <w:gridCol w:w="5138"/>
            </w:tblGrid>
            <w:tr w:rsidR="00C84727">
              <w:tc>
                <w:tcPr>
                  <w:tcW w:w="51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84727" w:rsidRDefault="00A01DB5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84727" w:rsidRDefault="00A01DB5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08.04.2021 г.     </w:t>
                  </w:r>
                </w:p>
              </w:tc>
            </w:tr>
          </w:tbl>
          <w:p w:rsidR="00C84727" w:rsidRDefault="00A01DB5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84727" w:rsidRDefault="00A01DB5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Комитет по дорожному хозяйству Ленинградской области, </w:t>
            </w:r>
            <w:r>
              <w:rPr>
                <w:color w:val="000000"/>
                <w:sz w:val="28"/>
                <w:szCs w:val="28"/>
              </w:rPr>
              <w:t>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Председателя Комитета по д</w:t>
            </w:r>
            <w:r>
              <w:rPr>
                <w:color w:val="000000"/>
                <w:sz w:val="28"/>
                <w:szCs w:val="28"/>
              </w:rPr>
              <w:t xml:space="preserve">орожному хозяйству Ленинградской области Седова Дениса Станиславовича, действующего(ей)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на основании Положение о Комитете по дорожному хозяйству Ленинградской области, с одной стороны, и Администрация муниципального образования "Новодевяткинское сельское п</w:t>
            </w:r>
            <w:r>
              <w:rPr>
                <w:color w:val="000000"/>
                <w:sz w:val="28"/>
                <w:szCs w:val="28"/>
              </w:rPr>
              <w:t>оселение" Всеволожского муниципального района Ленинградской области, именуемое(ая) в дальнейшем «Муниципальное образование», в лице главы муниципального образования Майорова Дмитрия Анатольевича, действующего(ей) на основании Устава МО "Новодевяткинское се</w:t>
            </w:r>
            <w:r>
              <w:rPr>
                <w:color w:val="000000"/>
                <w:sz w:val="28"/>
                <w:szCs w:val="28"/>
              </w:rPr>
              <w:t>льское поселение",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 "Об областном бюджете Ленинградской области на 2021 год и на плановы</w:t>
            </w:r>
            <w:r>
              <w:rPr>
                <w:color w:val="000000"/>
                <w:sz w:val="28"/>
                <w:szCs w:val="28"/>
              </w:rPr>
              <w:t xml:space="preserve">й период 2022 и 2023 годов" № 143-оз от 22.12.2020,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 (с изменениями) </w:t>
            </w:r>
            <w:r>
              <w:rPr>
                <w:color w:val="000000"/>
                <w:sz w:val="28"/>
                <w:szCs w:val="28"/>
              </w:rPr>
              <w:t>(далее  –  Правила), Порядком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 строительство (реконструкцию), включая проектирование, автомобильных доро</w:t>
            </w:r>
            <w:r>
              <w:rPr>
                <w:color w:val="000000"/>
                <w:sz w:val="28"/>
                <w:szCs w:val="28"/>
              </w:rPr>
              <w:t>г общего пользования местного значения, утвержденным постановлением Правительства Ленинградской области от 14 ноября 2013 года № 397 «Об утверждении государственной программы  Ленинградской области «Развитие транспортной системы Ленинградской области» (дал</w:t>
            </w:r>
            <w:r>
              <w:rPr>
                <w:color w:val="000000"/>
                <w:sz w:val="28"/>
                <w:szCs w:val="28"/>
              </w:rPr>
              <w:t>ее – Порядок) заключили настоящее Соглашение о нижеследующем.</w:t>
            </w:r>
          </w:p>
          <w:p w:rsidR="00C84727" w:rsidRDefault="00C84727"/>
          <w:p w:rsidR="00C84727" w:rsidRDefault="00C84727"/>
          <w:p w:rsidR="00C84727" w:rsidRDefault="00A01DB5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C84727" w:rsidRDefault="00A01DB5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84727" w:rsidRDefault="00A01DB5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Предметом настоящего Соглашения является предоставление из областного бюджета Ленинградской области в 2021 - 2023 годах </w:t>
            </w:r>
            <w:r>
              <w:rPr>
                <w:color w:val="000000"/>
                <w:sz w:val="28"/>
                <w:szCs w:val="28"/>
              </w:rPr>
              <w:t>Бюджету МО "Новодевяткинское сельское поселение" Субсидий на ремонт автомобильных дорог общего пользования местного значения (далее – Субсидия) в соответствии с лимитами бюджетных обязательств, доведенными Главному распорядителю как получателю средств обла</w:t>
            </w:r>
            <w:r>
              <w:rPr>
                <w:color w:val="000000"/>
                <w:sz w:val="28"/>
                <w:szCs w:val="28"/>
              </w:rPr>
              <w:t xml:space="preserve">стного бюджета Ленинградской области, по кодам классификации расходов бюджетов Российской Федерации: код главного </w:t>
            </w:r>
            <w:r>
              <w:rPr>
                <w:color w:val="000000"/>
                <w:sz w:val="28"/>
                <w:szCs w:val="28"/>
              </w:rPr>
              <w:lastRenderedPageBreak/>
              <w:t>распорядителя средств областного бюджета Ленинградской области  029, раздел 04, подраздел 09, целевая статья 6220270140, вид расходов 521, Гос</w:t>
            </w:r>
            <w:r>
              <w:rPr>
                <w:color w:val="000000"/>
                <w:sz w:val="28"/>
                <w:szCs w:val="28"/>
              </w:rPr>
              <w:t>ударственная программа Ленинградской области "Развитие транспортной системы Ленинградской области", Подпрограмма "Поддержание существующей сети автомобильных дорог общего пользования". </w:t>
            </w:r>
          </w:p>
          <w:p w:rsidR="00C84727" w:rsidRDefault="00A01DB5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соответствии с приложением № 1 к насто</w:t>
            </w:r>
            <w:r>
              <w:rPr>
                <w:color w:val="000000"/>
                <w:sz w:val="28"/>
                <w:szCs w:val="28"/>
              </w:rPr>
              <w:t>ящему Соглашению, являющемуся его неотъемлемой частью в целях софинансирования расходных обязательств Муниципального образования.</w:t>
            </w:r>
          </w:p>
          <w:p w:rsidR="00C84727" w:rsidRDefault="00C84727"/>
          <w:p w:rsidR="00C84727" w:rsidRDefault="00C84727"/>
          <w:p w:rsidR="00C84727" w:rsidRDefault="00A01DB5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софинансирования которых предоставляет</w:t>
            </w:r>
            <w:r>
              <w:rPr>
                <w:b/>
                <w:bCs/>
                <w:color w:val="000000"/>
                <w:sz w:val="28"/>
                <w:szCs w:val="28"/>
              </w:rPr>
              <w:t>ся Субсидия</w:t>
            </w:r>
          </w:p>
          <w:p w:rsidR="00C84727" w:rsidRDefault="00A01DB5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C84727" w:rsidRDefault="00A01DB5">
            <w:pPr>
              <w:spacing w:before="186" w:after="186"/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2.1. Общий объем бюджетных ассигнований, предусмотренных в Бюджете МО "Новодевяткинское сельское поселение"  на финансовое обеспечение расходных обязательств в целях софинансирования которых предоставляется Субсидия, составляет: 2021 году 320</w:t>
            </w:r>
            <w:r>
              <w:rPr>
                <w:color w:val="000000"/>
                <w:sz w:val="28"/>
                <w:szCs w:val="28"/>
              </w:rPr>
              <w:t xml:space="preserve"> 790,00 руб. (Триста двадцать тысяч семьсот девяносто рублей 00 копеек), в 2022 году 0,00 руб. (Ноль рублей 00 копеек), в 2023 году 0,00 руб.(Ноль рублей 00 копеек).</w:t>
            </w:r>
          </w:p>
          <w:p w:rsidR="00C84727" w:rsidRDefault="00A01DB5">
            <w:pPr>
              <w:spacing w:before="186" w:after="186"/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предоставляемой из областного бюджета Ленинградской области Бю</w:t>
            </w:r>
            <w:r>
              <w:rPr>
                <w:color w:val="000000"/>
                <w:sz w:val="28"/>
                <w:szCs w:val="28"/>
              </w:rPr>
              <w:t>джету МО "Новодевяткинское сельское поселение"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</w:t>
            </w:r>
            <w:r>
              <w:rPr>
                <w:color w:val="000000"/>
                <w:sz w:val="28"/>
                <w:szCs w:val="28"/>
              </w:rPr>
              <w:t>льного образования, в целях софинансирования которого предоставляется Субсидия: уровня софинансирования, равного 89,934224882000000 % составляет в 2021 году не более 288 500,00 руб. (Двести восемьдесят восемь тысяч пятьсот рублей 00 копеек), уровня софинан</w:t>
            </w:r>
            <w:r>
              <w:rPr>
                <w:color w:val="000000"/>
                <w:sz w:val="28"/>
                <w:szCs w:val="28"/>
              </w:rPr>
              <w:t>сирования, равного 0,0000000000 % составляет в 2022 году не более 0,00 руб. (Ноль рублей 00 копеек ), уровня софинансирования, равного 0,0000000000 % составляет в 2023 году не более 0,00 руб.(Ноль рублей 00 копеек).</w:t>
            </w:r>
          </w:p>
          <w:p w:rsidR="00C84727" w:rsidRDefault="00A01DB5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</w:t>
            </w:r>
            <w:r>
              <w:rPr>
                <w:color w:val="000000"/>
                <w:sz w:val="28"/>
                <w:szCs w:val="28"/>
              </w:rPr>
              <w:t xml:space="preserve"> бюджетных ассигнований, указанного в п. 2.1 настоящего Соглашения, Субсидия предоставляется в размере, определённом исходя из уровня софинансирования от уточненного общего объема бюджетных ассигнований, предусмотренных в финансовом году в Бюджете МО "Ново</w:t>
            </w:r>
            <w:r>
              <w:rPr>
                <w:color w:val="000000"/>
                <w:sz w:val="28"/>
                <w:szCs w:val="28"/>
              </w:rPr>
              <w:t>девяткинское сельское поселение" .</w:t>
            </w:r>
          </w:p>
          <w:p w:rsidR="00C84727" w:rsidRDefault="00A01DB5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В случае увеличения в финансовом году общего объема бюджетных ассигнований, указанного в п. 2.1. настоящего Соглашения, размер Субсидии, </w:t>
            </w:r>
            <w:r>
              <w:rPr>
                <w:color w:val="000000"/>
                <w:sz w:val="28"/>
                <w:szCs w:val="28"/>
              </w:rPr>
              <w:lastRenderedPageBreak/>
              <w:t>указанный в п. 2.2. настоящего Соглашения на финансовый год, не подлежит изменению. </w:t>
            </w:r>
          </w:p>
          <w:p w:rsidR="00C84727" w:rsidRDefault="00A01DB5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объема бюджетных ассигнований в 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</w:t>
            </w:r>
            <w:r>
              <w:rPr>
                <w:color w:val="000000"/>
                <w:sz w:val="28"/>
                <w:szCs w:val="28"/>
              </w:rPr>
              <w:t>го строительства или стоимости приобретения  объекта недвижимого имущества, размер Субсидии, указанный в п. 2.2. настоящего Соглашения на финансовый год, подлежит изменению.</w:t>
            </w:r>
          </w:p>
          <w:p w:rsidR="00C84727" w:rsidRDefault="00C84727"/>
          <w:p w:rsidR="00C84727" w:rsidRDefault="00C84727"/>
          <w:p w:rsidR="00C84727" w:rsidRDefault="00A01DB5">
            <w:pPr>
              <w:spacing w:before="186" w:after="186"/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C84727" w:rsidRDefault="00A01DB5">
            <w:pPr>
              <w:spacing w:before="186" w:after="186"/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</w:t>
            </w:r>
            <w:r>
              <w:rPr>
                <w:color w:val="000000"/>
                <w:sz w:val="28"/>
                <w:szCs w:val="28"/>
              </w:rPr>
              <w:t>сидия  предоставляется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2021  финансовый год и  плановый  период 2022  - 2023  годов, и лимит</w:t>
            </w:r>
            <w:r>
              <w:rPr>
                <w:color w:val="000000"/>
                <w:sz w:val="28"/>
                <w:szCs w:val="28"/>
              </w:rPr>
              <w:t>ов бюджетных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а) наличие правых актов Муниципального образования, утверждающих перечень мероприятий,  в целях софинансирования которых предоставляется Субсидия;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б) наличие в Бюджете МО "Новодевяткинское сельское поселение"  бюджетных ассигнований на исполнение расходных</w:t>
            </w:r>
            <w:r>
              <w:rPr>
                <w:color w:val="000000"/>
                <w:sz w:val="28"/>
                <w:szCs w:val="28"/>
              </w:rPr>
              <w:t xml:space="preserve"> обязательств Муниципального образования, в целях софинансирования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</w:t>
            </w:r>
            <w:r>
              <w:rPr>
                <w:color w:val="000000"/>
                <w:sz w:val="28"/>
                <w:szCs w:val="28"/>
              </w:rPr>
              <w:t>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</w:t>
            </w:r>
            <w:r>
              <w:rPr>
                <w:color w:val="000000"/>
                <w:sz w:val="28"/>
                <w:szCs w:val="28"/>
              </w:rPr>
              <w:t>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</w:t>
            </w:r>
            <w:r>
              <w:rPr>
                <w:color w:val="000000"/>
                <w:sz w:val="28"/>
                <w:szCs w:val="28"/>
              </w:rPr>
              <w:t>рамм, предусматривающих мероприятия, на софинансирование которых предоставляется Субсидия.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3.3. Перечисление субсидии осуществляется главным распорядителем бюджетных средств в установленном порядке на единый счет местного бюджета, </w:t>
            </w:r>
            <w:r>
              <w:rPr>
                <w:color w:val="000000"/>
                <w:sz w:val="28"/>
                <w:szCs w:val="28"/>
              </w:rPr>
              <w:lastRenderedPageBreak/>
              <w:t>открытый финансовому орга</w:t>
            </w:r>
            <w:r>
              <w:rPr>
                <w:color w:val="000000"/>
                <w:sz w:val="28"/>
                <w:szCs w:val="28"/>
              </w:rPr>
              <w:t>ну соответствующего муниципального образования в Управлении Федерального казначейства по Ленинградской области.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При перечислении субсидии исходя из потребности в оплате денежных обязательств по расходам муниципального образования, источником финансово</w:t>
            </w:r>
            <w:r>
              <w:rPr>
                <w:color w:val="000000"/>
                <w:sz w:val="28"/>
                <w:szCs w:val="28"/>
              </w:rPr>
              <w:t>го обеспечения которых являются субсидии, муниципальное образование посредством использования информационной системы "Управление бюджетным процессом Ленинградской области" представляет главному распорядителю бюджетных средств платежный документ с одновреме</w:t>
            </w:r>
            <w:r>
              <w:rPr>
                <w:color w:val="000000"/>
                <w:sz w:val="28"/>
                <w:szCs w:val="28"/>
              </w:rPr>
              <w:t>нным представлением документов, подтверждающих потребность в осуществлении расходов, в соответствии с перечнем (комплект документов, заверенных в установленном порядке):</w:t>
            </w:r>
          </w:p>
          <w:p w:rsidR="00C84727" w:rsidRDefault="00A01DB5">
            <w:pPr>
              <w:spacing w:before="93" w:after="93"/>
              <w:jc w:val="both"/>
            </w:pPr>
            <w:r>
              <w:rPr>
                <w:color w:val="000000"/>
                <w:sz w:val="28"/>
                <w:szCs w:val="28"/>
              </w:rPr>
              <w:t>- справка о стоимости выполненных работ и затрат по форме №КС-3;</w:t>
            </w:r>
          </w:p>
          <w:p w:rsidR="00C84727" w:rsidRDefault="00A01DB5">
            <w:pPr>
              <w:spacing w:before="93" w:after="93"/>
              <w:jc w:val="both"/>
            </w:pPr>
            <w:r>
              <w:rPr>
                <w:color w:val="000000"/>
                <w:sz w:val="28"/>
                <w:szCs w:val="28"/>
              </w:rPr>
              <w:t>- муниципальный контр</w:t>
            </w:r>
            <w:r>
              <w:rPr>
                <w:color w:val="000000"/>
                <w:sz w:val="28"/>
                <w:szCs w:val="28"/>
              </w:rPr>
              <w:t>акт с приложениями и дополнительными соглашениями, с указанием средств областного и местного бюджетов;</w:t>
            </w:r>
          </w:p>
          <w:p w:rsidR="00C84727" w:rsidRDefault="00A01DB5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- платежные поручения, подтверждающие финансирование за счет средств бюджета Муниципального образования (предоставляется после перечисления средств испол</w:t>
            </w:r>
            <w:r>
              <w:rPr>
                <w:color w:val="000000"/>
                <w:sz w:val="28"/>
                <w:szCs w:val="28"/>
              </w:rPr>
              <w:t>нителю).</w:t>
            </w:r>
          </w:p>
          <w:p w:rsidR="00C84727" w:rsidRDefault="00A01DB5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    При рассмотрении комплекта документов, Главный распорядитель вправе запросить иные документы, подтверждающие потребность Муниципального образования в осуществлении расходов.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</w:t>
            </w:r>
            <w:r>
              <w:rPr>
                <w:color w:val="000000"/>
                <w:sz w:val="28"/>
                <w:szCs w:val="28"/>
              </w:rPr>
              <w:t xml:space="preserve"> из областного бюджета Бюджету МО "Новодевяткинское сельское поселение" не позднее 5-го рабочего дня с даты поступления документов, подтверждающих потребность Муниципального образования в осуществлении расходов, если иное не установлено Порядком.</w:t>
            </w:r>
          </w:p>
          <w:p w:rsidR="00C84727" w:rsidRDefault="00C84727"/>
          <w:p w:rsidR="00C84727" w:rsidRDefault="00C84727"/>
          <w:p w:rsidR="00C84727" w:rsidRDefault="00A01DB5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</w:t>
            </w:r>
            <w:r>
              <w:rPr>
                <w:b/>
                <w:bCs/>
                <w:color w:val="000000"/>
                <w:sz w:val="28"/>
                <w:szCs w:val="28"/>
              </w:rPr>
              <w:t>имодействие Сторон</w:t>
            </w:r>
          </w:p>
          <w:p w:rsidR="00C84727" w:rsidRDefault="00A01DB5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84727" w:rsidRDefault="00A01DB5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C84727" w:rsidRDefault="00A01DB5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МО "Новодевяткинское сельское поселение" в  порядке  и  при  соблюдении  Муниципальным образованием условий предоставления Субсидии, установленных  </w:t>
            </w:r>
            <w:r>
              <w:rPr>
                <w:color w:val="000000"/>
                <w:sz w:val="28"/>
                <w:szCs w:val="28"/>
              </w:rPr>
              <w:t xml:space="preserve"> настоящим   Соглашением,   в   пределах  лимитов  бюджетных обязательств  на  2021   финансовый  год и плановый период 2022 - 2023 годов, доведенных Главному распорядителю как получателю средств областного бюджета Ленинградской области.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4.1.2.1. Контроль за соблюдением целей, порядка и условий предоставления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Субсидий, а </w:t>
            </w:r>
            <w:r>
              <w:rPr>
                <w:color w:val="000000"/>
                <w:sz w:val="28"/>
                <w:szCs w:val="28"/>
              </w:rPr>
              <w:t xml:space="preserve">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с </w:t>
            </w:r>
            <w:r>
              <w:rPr>
                <w:color w:val="000000"/>
                <w:sz w:val="28"/>
                <w:szCs w:val="28"/>
              </w:rPr>
              <w:t>соответствии с бюджетным законодательством Российской Федерации.    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софинансирование которых предоставляется Субсидия, в соответствии с Порядком.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</w:t>
            </w:r>
            <w:r>
              <w:rPr>
                <w:color w:val="000000"/>
                <w:sz w:val="28"/>
                <w:szCs w:val="28"/>
              </w:rPr>
              <w:t>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Муниципальным образованием допущены  нарушения обязательств, предусмотренн</w:t>
            </w:r>
            <w:r>
              <w:rPr>
                <w:color w:val="000000"/>
                <w:sz w:val="28"/>
                <w:szCs w:val="28"/>
              </w:rPr>
              <w:t xml:space="preserve">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МО "Новодевяткинское сельское поселение" в областной бюджет Ленинградской области, и направить </w:t>
            </w:r>
            <w:r>
              <w:rPr>
                <w:color w:val="000000"/>
                <w:sz w:val="28"/>
                <w:szCs w:val="28"/>
              </w:rPr>
              <w:t>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</w:t>
            </w:r>
            <w:r>
              <w:rPr>
                <w:color w:val="000000"/>
                <w:sz w:val="28"/>
                <w:szCs w:val="28"/>
              </w:rPr>
              <w:t>м году, однократно в течение срока действия Соглашения.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4.1.7. При наличии оснований, предусмотренных п. 5.5. Правил, подготовить заключение о причинах недостижения значений результатов использования Субсидии, а также о целесообразности продления срока дос</w:t>
            </w:r>
            <w:r>
              <w:rPr>
                <w:color w:val="000000"/>
                <w:sz w:val="28"/>
                <w:szCs w:val="28"/>
              </w:rPr>
              <w:t>тижения значений результатов использования Субсидии и до 1 марта года, следующего за отчетным финансовым годом, предоставить его в Комитет финансов Ленинградской области.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 Выполнять иные обязательства установленные Правилами предоставления Субсидий и</w:t>
            </w:r>
            <w:r>
              <w:rPr>
                <w:color w:val="000000"/>
                <w:sz w:val="28"/>
                <w:szCs w:val="28"/>
              </w:rPr>
              <w:t xml:space="preserve"> настоящим Соглашением.</w:t>
            </w:r>
          </w:p>
          <w:p w:rsidR="00C84727" w:rsidRDefault="00A01DB5">
            <w:pPr>
              <w:spacing w:before="27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4.1.8.1. Осуществлять контроль за достижением показателей результативности использования субсидии в соответствии с законодательством Российской Федерации.  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В целях осуществления контроля, указанного в настоящем пункте, Комитет впра</w:t>
            </w:r>
            <w:r>
              <w:rPr>
                <w:color w:val="000000"/>
                <w:sz w:val="28"/>
                <w:szCs w:val="28"/>
              </w:rPr>
              <w:t>ве привлекать к выполнению контрольных мероприятий следующие организации: ГКУ «Ленавтодор» и Ленинградские областные государственные предприятия, подведомственные Комитету, а также  АО «Тосненское ДРСУ», независимые экспертные организации при необходимости</w:t>
            </w:r>
            <w:r>
              <w:rPr>
                <w:color w:val="000000"/>
                <w:sz w:val="28"/>
                <w:szCs w:val="28"/>
              </w:rPr>
              <w:t xml:space="preserve"> (далее – Организации)..</w:t>
            </w:r>
          </w:p>
          <w:p w:rsidR="00C84727" w:rsidRDefault="00A01DB5">
            <w:pPr>
              <w:spacing w:before="11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4.2. Главный распорядитель вправе: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</w:t>
            </w:r>
            <w:r>
              <w:rPr>
                <w:color w:val="000000"/>
                <w:sz w:val="28"/>
                <w:szCs w:val="28"/>
              </w:rPr>
              <w:t>зательств, предусмотренных Соглашением, в том числе данные бухгалтерского учета и первичную документацию, связанную с использованием средств Субсидии.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</w:t>
            </w:r>
            <w:r>
              <w:rPr>
                <w:color w:val="000000"/>
                <w:sz w:val="28"/>
                <w:szCs w:val="28"/>
              </w:rPr>
              <w:t>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C84727" w:rsidRDefault="00A01DB5">
            <w:pPr>
              <w:spacing w:before="11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</w:t>
            </w:r>
            <w:r>
              <w:rPr>
                <w:color w:val="000000"/>
                <w:sz w:val="28"/>
                <w:szCs w:val="28"/>
              </w:rPr>
              <w:t>ных пунктом 3.2. настоящего Соглашения.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</w:t>
            </w:r>
            <w:r>
              <w:rPr>
                <w:color w:val="000000"/>
                <w:sz w:val="28"/>
                <w:szCs w:val="28"/>
              </w:rPr>
              <w:t>ение требований Главного распорядителя по возврату средств в областной бюджет Ленинградской области в соответствии с разделом 5 Правил предоставления субсидий.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</w:t>
            </w:r>
            <w:r>
              <w:rPr>
                <w:color w:val="000000"/>
                <w:sz w:val="28"/>
                <w:szCs w:val="28"/>
              </w:rPr>
              <w:t>идии, установленных в соответствии с приложением № 2 к настоящему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</w:t>
            </w:r>
            <w:r>
              <w:rPr>
                <w:color w:val="000000"/>
                <w:sz w:val="28"/>
                <w:szCs w:val="28"/>
              </w:rPr>
              <w:t>ффективной проектной документации повторного использования (при наличии такой документации).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</w:t>
            </w:r>
            <w:r>
              <w:rPr>
                <w:color w:val="000000"/>
                <w:sz w:val="28"/>
                <w:szCs w:val="28"/>
              </w:rPr>
              <w:t>емых муниципальных услуг.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 с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</w:t>
            </w:r>
            <w:r>
              <w:rPr>
                <w:color w:val="000000"/>
                <w:sz w:val="28"/>
                <w:szCs w:val="28"/>
              </w:rPr>
              <w:t xml:space="preserve"> программы и   (или)  изменение  состава  мероприятий  указанной  программы,  в  целях софинансирования которой предоставляется Субсидия.</w:t>
            </w:r>
          </w:p>
          <w:p w:rsidR="00C84727" w:rsidRDefault="00A01DB5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C84727" w:rsidRDefault="00A01DB5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         - о расходах </w:t>
            </w:r>
            <w:r>
              <w:rPr>
                <w:color w:val="000000"/>
                <w:sz w:val="28"/>
                <w:szCs w:val="28"/>
              </w:rPr>
              <w:t>Бюджета МО "Новодевяткинское сельское поселение",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 2 числа  месяца,  следующего за квартал</w:t>
            </w:r>
            <w:r>
              <w:rPr>
                <w:color w:val="000000"/>
                <w:sz w:val="28"/>
                <w:szCs w:val="28"/>
              </w:rPr>
              <w:t>ом, в котором была получена Субсидия, если иное не предусмотрено Порядком.</w:t>
            </w:r>
          </w:p>
          <w:p w:rsidR="00C84727" w:rsidRDefault="00A01DB5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15 я</w:t>
            </w:r>
            <w:r>
              <w:rPr>
                <w:color w:val="000000"/>
                <w:sz w:val="28"/>
                <w:szCs w:val="28"/>
              </w:rPr>
              <w:t>нваря, следующего за годом, в котором была получена Субсидия, если иное не предусмотрено Порядком;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 - о выполнении мероприятий по проектированию и строительству объектов капитального строительства, включенных в адресную инвестиционную программу по форме и</w:t>
            </w:r>
            <w:r>
              <w:rPr>
                <w:color w:val="000000"/>
                <w:sz w:val="28"/>
                <w:szCs w:val="28"/>
              </w:rPr>
              <w:t xml:space="preserve"> в сроки в соответствии с Положением о формировании и реализации адресной инвестиционной программы Ленинградской области, утвержденной постановлением Правительства Ленинградской области от 25 января 2019 года № 10.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4.3.9.   В  случае  получения  запроса  о</w:t>
            </w:r>
            <w:r>
              <w:rPr>
                <w:color w:val="000000"/>
                <w:sz w:val="28"/>
                <w:szCs w:val="28"/>
              </w:rPr>
              <w:t>беспечивать  представление  Главному распорядителю документов и материалов, необходимых  для  осуществления  контроля  за соблюдением Главным распорядителем условий предоставления Субсидии и других обязательств, предусмотренных соглашением, в том числе дан</w:t>
            </w:r>
            <w:r>
              <w:rPr>
                <w:color w:val="000000"/>
                <w:sz w:val="28"/>
                <w:szCs w:val="28"/>
              </w:rPr>
              <w:t>ных бухгалтерского учета и первичной документации, связанных с использованием средств Субсидии.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4.3.10. 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</w:t>
            </w:r>
            <w:r>
              <w:rPr>
                <w:color w:val="000000"/>
                <w:sz w:val="28"/>
                <w:szCs w:val="28"/>
              </w:rPr>
              <w:t xml:space="preserve"> Субсидии, в порядке и сроки, установленные правовым актом Комитета финансов Ленинградской области.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4.3.11. Возвратить в доход областного бюджета Ленинградской области рассчитанный Главным распорядителем объем средств Субсидии в связи с недостижением значе</w:t>
            </w:r>
            <w:r>
              <w:rPr>
                <w:color w:val="000000"/>
                <w:sz w:val="28"/>
                <w:szCs w:val="28"/>
              </w:rPr>
              <w:t>ний результатов использования Субсидии и с несоблюдением уровня софинансирования, в объеме в соответствии с разделом 5. Правил.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средства Субсидии, использованные Муниципальным образованием не по ц</w:t>
            </w:r>
            <w:r>
              <w:rPr>
                <w:color w:val="000000"/>
                <w:sz w:val="28"/>
                <w:szCs w:val="28"/>
              </w:rPr>
              <w:t>елевому назначению.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4.3.13.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недостижения значени</w:t>
            </w:r>
            <w:r>
              <w:rPr>
                <w:color w:val="000000"/>
                <w:sz w:val="28"/>
                <w:szCs w:val="28"/>
              </w:rPr>
              <w:t>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>
              <w:rPr>
                <w:color w:val="000000"/>
                <w:sz w:val="28"/>
                <w:szCs w:val="28"/>
              </w:rPr>
              <w:lastRenderedPageBreak/>
              <w:t>законодательством Российской Федерации, Порядком  и настоящим Соглашением: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4.3.14.1. В случае осуществления Главным распорядителем, и (или) Комитетом государственного финансового контроля Ленинградской области, и (или) Государственным казенным учреждение</w:t>
            </w:r>
            <w:r>
              <w:rPr>
                <w:color w:val="000000"/>
                <w:sz w:val="28"/>
                <w:szCs w:val="28"/>
              </w:rPr>
              <w:t>м Ленинградской области «Управление автомобильных дорог Ленинградской области» контроля, указанного в пункте 4.1.8.1. Соглашения, Муниципальное образование обязано обеспечить доступ представителей вышеуказанных организаций  к проверяемому объекту, их безоп</w:t>
            </w:r>
            <w:r>
              <w:rPr>
                <w:color w:val="000000"/>
                <w:sz w:val="28"/>
                <w:szCs w:val="28"/>
              </w:rPr>
              <w:t>асность при проведении контрольных мероприятий на объекте, а также обязано предоставить всю (любую) исполнительную документацию по проверяемому объекту. Проверяемый объект должен быть подготовлен Муниципальным образованием, а именно: очищен от загрязнения,</w:t>
            </w:r>
            <w:r>
              <w:rPr>
                <w:color w:val="000000"/>
                <w:sz w:val="28"/>
                <w:szCs w:val="28"/>
              </w:rPr>
              <w:t xml:space="preserve"> снега, льда и т.д. для возможности проведения контрольных мероприятий на проверяемом объекте.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4.3.14.2 Муниципальное образование обязуется по объектам ремонта, определение поставщиков (подрядчиков, исполнителей) для муниципальных заказчиков осуществлять ч</w:t>
            </w:r>
            <w:r>
              <w:rPr>
                <w:color w:val="000000"/>
                <w:sz w:val="28"/>
                <w:szCs w:val="28"/>
              </w:rPr>
              <w:t>ерез Комитет государственного заказа Ленинградской области.</w:t>
            </w:r>
          </w:p>
          <w:p w:rsidR="00C84727" w:rsidRDefault="00A01DB5">
            <w:pPr>
              <w:spacing w:before="11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C84727" w:rsidRDefault="00A01DB5">
            <w:pPr>
              <w:spacing w:before="10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</w:t>
            </w:r>
            <w:r>
              <w:rPr>
                <w:color w:val="000000"/>
                <w:sz w:val="28"/>
                <w:szCs w:val="28"/>
              </w:rPr>
              <w:t>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Соглашением:</w:t>
            </w:r>
          </w:p>
          <w:p w:rsidR="00C84727" w:rsidRDefault="00C84727"/>
          <w:p w:rsidR="00C84727" w:rsidRDefault="00C84727"/>
          <w:p w:rsidR="00C84727" w:rsidRDefault="00A01DB5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C84727" w:rsidRDefault="00A01DB5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84727" w:rsidRDefault="00A01DB5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C84727" w:rsidRDefault="00A01DB5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</w:t>
            </w:r>
            <w:r>
              <w:rPr>
                <w:color w:val="000000"/>
                <w:sz w:val="28"/>
                <w:szCs w:val="28"/>
              </w:rPr>
              <w:t>радской области в порядке, 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:rsidR="00C84727" w:rsidRDefault="00A01DB5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5.3. При наличии документально подтвержденного наступления обстоятел</w:t>
            </w:r>
            <w:r>
              <w:rPr>
                <w:color w:val="000000"/>
                <w:sz w:val="28"/>
                <w:szCs w:val="28"/>
              </w:rPr>
              <w:t>ьств 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C84727" w:rsidRDefault="00A01DB5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</w:t>
            </w:r>
            <w:r>
              <w:rPr>
                <w:color w:val="000000"/>
                <w:sz w:val="28"/>
                <w:szCs w:val="28"/>
              </w:rPr>
              <w:t>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C84727" w:rsidRDefault="00A01DB5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5.5. В случае невозврата </w:t>
            </w:r>
            <w:r>
              <w:rPr>
                <w:color w:val="000000"/>
                <w:sz w:val="28"/>
                <w:szCs w:val="28"/>
              </w:rPr>
              <w:t>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C84727" w:rsidRDefault="00A01DB5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5.6. В случае нецелевого использования Субсидии и </w:t>
            </w:r>
            <w:r>
              <w:rPr>
                <w:color w:val="000000"/>
                <w:sz w:val="28"/>
                <w:szCs w:val="28"/>
              </w:rPr>
              <w:t>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C84727" w:rsidRDefault="00C84727"/>
          <w:p w:rsidR="00C84727" w:rsidRDefault="00C84727"/>
          <w:p w:rsidR="00C84727" w:rsidRDefault="00A01DB5">
            <w:pPr>
              <w:spacing w:before="186"/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C84727" w:rsidRDefault="00A01DB5">
            <w:pPr>
              <w:spacing w:before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84727" w:rsidRDefault="00A01DB5">
            <w:pPr>
              <w:spacing w:before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6.1. Споры, возник</w:t>
            </w:r>
            <w:r>
              <w:rPr>
                <w:color w:val="000000"/>
                <w:sz w:val="28"/>
                <w:szCs w:val="28"/>
              </w:rPr>
              <w:t>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C84727" w:rsidRDefault="00A01DB5">
            <w:pPr>
              <w:spacing w:before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</w:t>
            </w:r>
            <w:r>
              <w:rPr>
                <w:color w:val="000000"/>
                <w:sz w:val="28"/>
                <w:szCs w:val="28"/>
              </w:rPr>
              <w:t>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</w:t>
            </w:r>
            <w:r>
              <w:rPr>
                <w:color w:val="000000"/>
                <w:sz w:val="28"/>
                <w:szCs w:val="28"/>
              </w:rPr>
              <w:t>щему Соглашению прекращаются.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</w:t>
            </w:r>
            <w:r>
              <w:rPr>
                <w:color w:val="000000"/>
                <w:sz w:val="28"/>
                <w:szCs w:val="28"/>
              </w:rPr>
              <w:t xml:space="preserve">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</w:t>
            </w:r>
            <w:r>
              <w:rPr>
                <w:color w:val="000000"/>
                <w:sz w:val="28"/>
                <w:szCs w:val="28"/>
              </w:rPr>
              <w:t xml:space="preserve">шению, которое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</w:t>
            </w:r>
            <w:r>
              <w:rPr>
                <w:color w:val="000000"/>
                <w:sz w:val="28"/>
                <w:szCs w:val="28"/>
              </w:rPr>
              <w:lastRenderedPageBreak/>
              <w:t>действовать от имени каждой из Сторон соглашения и заключается не позднее 10 рабочих дне</w:t>
            </w:r>
            <w:r>
              <w:rPr>
                <w:color w:val="000000"/>
                <w:sz w:val="28"/>
                <w:szCs w:val="28"/>
              </w:rPr>
              <w:t>й после утверждения изменений в распределение Субсидии.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C84727" w:rsidRDefault="00A01DB5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:rsidR="00C84727" w:rsidRDefault="00C84727"/>
          <w:p w:rsidR="00C84727" w:rsidRDefault="00C84727"/>
          <w:p w:rsidR="00C84727" w:rsidRDefault="00A01DB5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C84727" w:rsidRDefault="00A01DB5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84727" w:rsidRDefault="00C84727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7"/>
              <w:gridCol w:w="5138"/>
            </w:tblGrid>
            <w:tr w:rsidR="00C84727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4727" w:rsidRDefault="00A01DB5">
                  <w:pPr>
                    <w:spacing w:before="186" w:after="186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</w:t>
                  </w:r>
                  <w:r>
                    <w:rPr>
                      <w:color w:val="000000"/>
                      <w:sz w:val="28"/>
                      <w:szCs w:val="28"/>
                    </w:rPr>
                    <w:t>о дорожному хозяйству Ленинградской области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4727" w:rsidRDefault="00A01DB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"Новодевяткинское сельское поселение" Всеволожского муниципального района Ленинградской области </w:t>
                  </w:r>
                </w:p>
              </w:tc>
            </w:tr>
            <w:tr w:rsidR="00C84727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4727" w:rsidRDefault="00A01DB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190103, Санкт-Петербург, Рижский проспект, дом 16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4727" w:rsidRDefault="00A01DB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188661, Ленинградская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область,Всеволожский район, дер. Новое Девяткино, дом 57 оф.83-84 </w:t>
                  </w:r>
                </w:p>
              </w:tc>
            </w:tr>
          </w:tbl>
          <w:p w:rsidR="00C84727" w:rsidRDefault="00C84727"/>
          <w:p w:rsidR="00C84727" w:rsidRDefault="00C84727"/>
          <w:p w:rsidR="00C84727" w:rsidRDefault="00A01DB5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C84727" w:rsidRDefault="00A01DB5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84727" w:rsidRDefault="00C84727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4"/>
              <w:gridCol w:w="5124"/>
            </w:tblGrid>
            <w:tr w:rsidR="00C84727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4727" w:rsidRDefault="00A01DB5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4727" w:rsidRDefault="00A01DB5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C84727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4727" w:rsidRDefault="00A01DB5">
                  <w:pPr>
                    <w:spacing w:before="186" w:after="186"/>
                  </w:pPr>
                  <w:r>
                    <w:rPr>
                      <w:color w:val="0000FF"/>
                      <w:sz w:val="28"/>
                      <w:szCs w:val="28"/>
                    </w:rPr>
                    <w:t>УФК по Ленинградской области (Комитет по дорожному хозяйству Ленинградской области, лицевой счет 02153029002)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ИНН: 4700000187;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КПП: 783901001;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029;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ОКТМО: 40306000;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Лицевой счет: 02153029002;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Банк: ОТДЕЛЕНИЕ ЛЕНИНГРАДСКОЕ БАНКА </w:t>
                  </w:r>
                  <w:r>
                    <w:rPr>
                      <w:color w:val="000000"/>
                      <w:sz w:val="28"/>
                      <w:szCs w:val="28"/>
                    </w:rPr>
                    <w:t>РОССИИ//УФК по Ленинградской области г.Санкт-Петербург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Единый казначейский счет 40102810745370000006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Казначейский счёт 03221643410000004500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БИК ТОФК 014106101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Администрация муниципального образования "Новодевяткинское сельское поселение" Всеволожского муни</w:t>
                  </w:r>
                  <w:r>
                    <w:rPr>
                      <w:color w:val="000000"/>
                      <w:sz w:val="28"/>
                      <w:szCs w:val="28"/>
                    </w:rPr>
                    <w:t>ципального района Ленинградской области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ИНН: 4703098413;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КПП: 470301001;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001;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ОКТМО: 41612458;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Лицевой счет: 04453004280;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Банк: ОТДЕЛЕНИЕ ЛЕНИНГРАДСКОЕ БАНКА РОССИИ//УФК по Ленинградской области г.Санкт-Петербург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Единый казначейский счет 40102810745370000006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Счет УФК: 03100643000000014500;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БИК ТОФК 014106101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84727" w:rsidRDefault="00C84727"/>
          <w:p w:rsidR="00C84727" w:rsidRDefault="00C84727"/>
          <w:p w:rsidR="00C84727" w:rsidRDefault="00A01DB5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C84727" w:rsidRDefault="00A01DB5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84727" w:rsidRDefault="00C84727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7"/>
              <w:gridCol w:w="5138"/>
            </w:tblGrid>
            <w:tr w:rsidR="00C84727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 по дорожному хозяйству Ленинградской области 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Pуководитель 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C84727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____________/ Седов Денис Станиславович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84727" w:rsidRDefault="00A01DB5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____________/ Майоров Дмитрий Анатольевич</w:t>
                  </w:r>
                </w:p>
                <w:p w:rsidR="00C84727" w:rsidRDefault="00A01DB5">
                  <w:pPr>
                    <w:spacing w:before="186" w:after="186"/>
                  </w:pPr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</w:t>
                  </w:r>
                  <w:r>
                    <w:rPr>
                      <w:i/>
                      <w:iCs/>
                      <w:color w:val="000000"/>
                    </w:rPr>
                    <w:t>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C84727" w:rsidRDefault="00C84727"/>
          <w:p w:rsidR="00C84727" w:rsidRDefault="00C84727"/>
          <w:tbl>
            <w:tblPr>
              <w:tblOverlap w:val="never"/>
              <w:tblW w:w="10069" w:type="dxa"/>
              <w:tblLayout w:type="fixed"/>
              <w:tblLook w:val="01E0" w:firstRow="1" w:lastRow="1" w:firstColumn="1" w:lastColumn="1" w:noHBand="0" w:noVBand="0"/>
            </w:tblPr>
            <w:tblGrid>
              <w:gridCol w:w="3356"/>
              <w:gridCol w:w="3356"/>
              <w:gridCol w:w="3357"/>
            </w:tblGrid>
            <w:tr w:rsidR="00C84727">
              <w:tc>
                <w:tcPr>
                  <w:tcW w:w="3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C84727" w:rsidRDefault="00A01DB5">
                  <w:r>
                    <w:rPr>
                      <w:color w:val="000000"/>
                    </w:rPr>
                    <w:t>ДОКУМЕНТ ПОДПИСАН</w:t>
                  </w:r>
                </w:p>
                <w:p w:rsidR="00C84727" w:rsidRDefault="00A01DB5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C84727" w:rsidRDefault="00A01DB5">
                  <w:r>
                    <w:rPr>
                      <w:color w:val="000000"/>
                    </w:rPr>
                    <w:t>022C0EC10010AC599348DC08036DD2D2DC</w:t>
                  </w:r>
                </w:p>
                <w:p w:rsidR="00C84727" w:rsidRDefault="00A01DB5">
                  <w:r>
                    <w:rPr>
                      <w:color w:val="000000"/>
                    </w:rPr>
                    <w:t>Седов Денис Станиславович</w:t>
                  </w:r>
                </w:p>
                <w:p w:rsidR="00C84727" w:rsidRDefault="00A01DB5">
                  <w:r>
                    <w:rPr>
                      <w:color w:val="000000"/>
                    </w:rPr>
                    <w:t>Действителен c 07.08.2020 14:32 до 07.08.2021 14:32</w:t>
                  </w:r>
                </w:p>
              </w:tc>
              <w:tc>
                <w:tcPr>
                  <w:tcW w:w="3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C84727">
                  <w:pPr>
                    <w:spacing w:line="1" w:lineRule="auto"/>
                  </w:pPr>
                </w:p>
              </w:tc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C84727" w:rsidRDefault="00A01DB5">
                  <w:r>
                    <w:rPr>
                      <w:color w:val="000000"/>
                    </w:rPr>
                    <w:t>ДОКУМЕНТ ПОДПИСАН</w:t>
                  </w:r>
                </w:p>
                <w:p w:rsidR="00C84727" w:rsidRDefault="00A01DB5">
                  <w:r>
                    <w:rPr>
                      <w:color w:val="000000"/>
                    </w:rPr>
                    <w:t>ЭЛ</w:t>
                  </w:r>
                  <w:r>
                    <w:rPr>
                      <w:color w:val="000000"/>
                    </w:rPr>
                    <w:t>ЕКТРОННОЙ ПОДПИСЬЮ</w:t>
                  </w:r>
                </w:p>
                <w:p w:rsidR="00C84727" w:rsidRDefault="00A01DB5">
                  <w:r>
                    <w:rPr>
                      <w:color w:val="000000"/>
                    </w:rPr>
                    <w:t>5C999A320AA26BFBB03F02086DA2CCAF9AAB68EC</w:t>
                  </w:r>
                </w:p>
                <w:p w:rsidR="00C84727" w:rsidRDefault="00A01DB5">
                  <w:r>
                    <w:rPr>
                      <w:color w:val="000000"/>
                    </w:rPr>
                    <w:t>null</w:t>
                  </w:r>
                </w:p>
                <w:p w:rsidR="00C84727" w:rsidRDefault="00A01DB5">
                  <w:r>
                    <w:rPr>
                      <w:color w:val="000000"/>
                    </w:rPr>
                    <w:t>Действителен c 01.06.2020 14:37 до 01.09.2021 14:37</w:t>
                  </w:r>
                </w:p>
              </w:tc>
            </w:tr>
          </w:tbl>
          <w:p w:rsidR="00C84727" w:rsidRDefault="00C84727">
            <w:pPr>
              <w:spacing w:line="1" w:lineRule="auto"/>
            </w:pPr>
          </w:p>
        </w:tc>
      </w:tr>
    </w:tbl>
    <w:p w:rsidR="00C84727" w:rsidRDefault="00C84727">
      <w:pPr>
        <w:sectPr w:rsidR="00C84727">
          <w:headerReference w:type="default" r:id="rId6"/>
          <w:footerReference w:type="default" r:id="rId7"/>
          <w:pgSz w:w="11905" w:h="16837"/>
          <w:pgMar w:top="283" w:right="283" w:bottom="283" w:left="1133" w:header="720" w:footer="720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C84727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«08» Апреля 2021 г.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16</w:t>
            </w:r>
          </w:p>
        </w:tc>
      </w:tr>
      <w:tr w:rsidR="00C84727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C84727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C84727" w:rsidRDefault="00A01DB5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C84727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710"/>
        <w:gridCol w:w="7711"/>
      </w:tblGrid>
      <w:tr w:rsidR="00C84727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r>
              <w:rPr>
                <w:color w:val="000000"/>
              </w:rPr>
              <w:t>Бюджет МО "Новодевяткинское сельское поселение"</w:t>
            </w:r>
          </w:p>
        </w:tc>
      </w:tr>
      <w:tr w:rsidR="00C84727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5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7"/>
      </w:tblGrid>
      <w:tr w:rsidR="00C84727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</w:t>
            </w:r>
            <w:r>
              <w:rPr>
                <w:color w:val="000000"/>
                <w:sz w:val="18"/>
                <w:szCs w:val="18"/>
              </w:rPr>
              <w:t>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C84727">
        <w:trPr>
          <w:trHeight w:val="1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</w:tr>
      <w:tr w:rsidR="00C84727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C84727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</w:tr>
      <w:tr w:rsidR="00C84727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C84727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r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320 790.00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288 500.00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89.934224882000000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C84727"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320 790.00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288 500.00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C84727">
        <w:trPr>
          <w:trHeight w:val="230"/>
        </w:trPr>
        <w:tc>
          <w:tcPr>
            <w:tcW w:w="1417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C84727"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r>
              <w:rPr>
                <w:color w:val="000000"/>
              </w:rPr>
              <w:t>Председатель комитета по дорожному хозяйству Ленинградской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r>
              <w:rPr>
                <w:color w:val="000000"/>
              </w:rPr>
              <w:t>Pуководитель</w:t>
            </w:r>
          </w:p>
        </w:tc>
      </w:tr>
      <w:tr w:rsidR="00C84727"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4727" w:rsidRDefault="00A01DB5">
            <w:r>
              <w:rPr>
                <w:color w:val="000000"/>
              </w:rPr>
              <w:t>Седов Денис Станиславович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4727" w:rsidRDefault="00C84727">
            <w:pPr>
              <w:jc w:val="right"/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4727" w:rsidRDefault="00A01DB5">
            <w:r>
              <w:rPr>
                <w:color w:val="000000"/>
              </w:rPr>
              <w:t>Майоров Дмитрий Анатольевич</w:t>
            </w:r>
          </w:p>
        </w:tc>
      </w:tr>
      <w:tr w:rsidR="00C84727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C84727" w:rsidRDefault="00C84727">
      <w:pPr>
        <w:sectPr w:rsidR="00C84727">
          <w:headerReference w:type="default" r:id="rId8"/>
          <w:footerReference w:type="default" r:id="rId9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C84727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«08» Апреля 2021 г.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16</w:t>
            </w:r>
          </w:p>
        </w:tc>
      </w:tr>
      <w:tr w:rsidR="00C84727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C84727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C84727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2021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C84727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</w:tr>
      <w:tr w:rsidR="00C84727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C84727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r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ремонту</w:t>
            </w:r>
            <w:r>
              <w:rPr>
                <w:color w:val="000000"/>
                <w:sz w:val="18"/>
                <w:szCs w:val="18"/>
              </w:rPr>
              <w:t>: километры введенных в эксплуатацию автомобильных дорог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0.11900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27" w:rsidRDefault="00A01DB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0484" w:type="dxa"/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736"/>
        <w:gridCol w:w="2437"/>
        <w:gridCol w:w="2437"/>
      </w:tblGrid>
      <w:tr w:rsidR="00C84727">
        <w:trPr>
          <w:trHeight w:val="230"/>
        </w:trPr>
        <w:tc>
          <w:tcPr>
            <w:tcW w:w="1048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C84727"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r>
              <w:rPr>
                <w:color w:val="000000"/>
              </w:rPr>
              <w:t>Председатель комитета по дорожному хозяйству Ленинградской области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r>
              <w:rPr>
                <w:color w:val="000000"/>
              </w:rPr>
              <w:t>Pуководитель</w:t>
            </w:r>
          </w:p>
        </w:tc>
      </w:tr>
      <w:tr w:rsidR="00C84727"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4727" w:rsidRDefault="00A01DB5">
            <w:r>
              <w:rPr>
                <w:color w:val="000000"/>
              </w:rPr>
              <w:t>Седов Денис Станиславович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4727" w:rsidRDefault="00C84727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4727" w:rsidRDefault="00A01DB5">
            <w:r>
              <w:rPr>
                <w:color w:val="000000"/>
              </w:rPr>
              <w:t>Майоров Дмитрий Анатольевич</w:t>
            </w:r>
          </w:p>
        </w:tc>
      </w:tr>
      <w:tr w:rsidR="00C84727"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C84727" w:rsidRDefault="00C84727">
      <w:pPr>
        <w:sectPr w:rsidR="00C84727">
          <w:headerReference w:type="default" r:id="rId10"/>
          <w:footerReference w:type="default" r:id="rId11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C84727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«08» Апреля 2021 г.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16</w:t>
            </w:r>
          </w:p>
        </w:tc>
      </w:tr>
      <w:tr w:rsidR="00C84727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C84727" w:rsidRDefault="00A01DB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 _________ 20__ г.</w:t>
            </w: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2"/>
      </w:tblGrid>
      <w:tr w:rsidR="00C84727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C84727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C84727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Израсходовано средств бюджета муниципального </w:t>
            </w:r>
            <w:r>
              <w:rPr>
                <w:color w:val="000000"/>
              </w:rPr>
              <w:lastRenderedPageBreak/>
              <w:t>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  <w:tr w:rsidR="00C8472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jc w:val="center"/>
              <w:rPr>
                <w:color w:val="000000"/>
              </w:rPr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C84727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C84727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jc w:val="right"/>
              <w:rPr>
                <w:color w:val="000000"/>
              </w:rPr>
            </w:pPr>
          </w:p>
        </w:tc>
      </w:tr>
      <w:tr w:rsidR="00C84727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C84727" w:rsidRDefault="00C84727">
      <w:pPr>
        <w:sectPr w:rsidR="00C84727">
          <w:headerReference w:type="default" r:id="rId12"/>
          <w:footerReference w:type="default" r:id="rId13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C84727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«08» Апреля 2021 г.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16</w:t>
            </w:r>
          </w:p>
        </w:tc>
      </w:tr>
      <w:tr w:rsidR="00C84727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C84727" w:rsidRDefault="00A01DB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C84727" w:rsidRDefault="00A01DB5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C84727" w:rsidRDefault="00A01DB5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6"/>
      </w:tblGrid>
      <w:tr w:rsidR="00C84727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C84727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spacing w:line="1" w:lineRule="auto"/>
            </w:pPr>
          </w:p>
        </w:tc>
      </w:tr>
      <w:tr w:rsidR="00C84727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84727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</w:tr>
      <w:tr w:rsidR="00C84727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27" w:rsidRDefault="00C84727">
            <w:pPr>
              <w:rPr>
                <w:color w:val="000000"/>
              </w:rPr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C84727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C84727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jc w:val="right"/>
              <w:rPr>
                <w:color w:val="000000"/>
              </w:rPr>
            </w:pPr>
          </w:p>
        </w:tc>
      </w:tr>
      <w:tr w:rsidR="00C84727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C84727" w:rsidRDefault="00C84727">
      <w:pPr>
        <w:sectPr w:rsidR="00C84727">
          <w:headerReference w:type="default" r:id="rId14"/>
          <w:footerReference w:type="default" r:id="rId15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C84727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«08» Апреля 2021 г.</w:t>
            </w:r>
          </w:p>
          <w:p w:rsidR="00C84727" w:rsidRDefault="00A01DB5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16</w:t>
            </w:r>
          </w:p>
        </w:tc>
      </w:tr>
      <w:tr w:rsidR="00C84727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C84727" w:rsidRDefault="00A01DB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C84727" w:rsidRDefault="00A01DB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C84727" w:rsidRDefault="00A01DB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C84727" w:rsidRDefault="00A01DB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804"/>
        <w:gridCol w:w="2880"/>
        <w:gridCol w:w="3805"/>
      </w:tblGrid>
      <w:tr w:rsidR="00C84727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C84727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C84727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</w:tbl>
    <w:p w:rsidR="00C84727" w:rsidRDefault="00C8472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C84727" w:rsidRDefault="00A01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C84727" w:rsidRDefault="00A01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C84727" w:rsidRDefault="00A01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C84727" w:rsidRDefault="00A01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C84727" w:rsidRDefault="00A01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C84727" w:rsidRDefault="00A01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C84727" w:rsidRDefault="00A01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C84727" w:rsidRDefault="00A01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C84727" w:rsidRDefault="00A01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</w:t>
            </w:r>
            <w:r>
              <w:rPr>
                <w:color w:val="000000"/>
                <w:sz w:val="22"/>
                <w:szCs w:val="22"/>
              </w:rPr>
              <w:t>ество)</w:t>
            </w:r>
          </w:p>
          <w:p w:rsidR="00C84727" w:rsidRDefault="00A01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:rsidR="00C84727" w:rsidRDefault="00A01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C84727" w:rsidRDefault="00A01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</w:t>
            </w:r>
            <w:r>
              <w:rPr>
                <w:color w:val="000000"/>
                <w:sz w:val="28"/>
                <w:szCs w:val="28"/>
              </w:rPr>
              <w:t>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</w:t>
            </w:r>
            <w:r>
              <w:rPr>
                <w:color w:val="000000"/>
                <w:sz w:val="28"/>
                <w:szCs w:val="28"/>
              </w:rPr>
              <w:t>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</w:t>
            </w:r>
            <w:r>
              <w:rPr>
                <w:color w:val="000000"/>
                <w:sz w:val="28"/>
                <w:szCs w:val="28"/>
              </w:rPr>
              <w:t>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</w:t>
            </w:r>
            <w:r>
              <w:rPr>
                <w:color w:val="000000"/>
              </w:rPr>
              <w:t xml:space="preserve">           (сумма прописью)</w:t>
            </w:r>
          </w:p>
          <w:p w:rsidR="00C84727" w:rsidRDefault="00A01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:rsidR="00C84727" w:rsidRDefault="00A01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C84727" w:rsidRDefault="00A01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</w:t>
            </w:r>
            <w:r>
              <w:rPr>
                <w:color w:val="000000"/>
                <w:sz w:val="28"/>
                <w:szCs w:val="28"/>
              </w:rPr>
              <w:t>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</w:t>
            </w:r>
            <w:r>
              <w:rPr>
                <w:color w:val="000000"/>
                <w:sz w:val="28"/>
                <w:szCs w:val="28"/>
              </w:rPr>
              <w:t>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  <w:sz w:val="28"/>
                <w:szCs w:val="28"/>
              </w:rPr>
            </w:pP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  <w:sz w:val="28"/>
                <w:szCs w:val="28"/>
              </w:rPr>
            </w:pP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5"/>
            </w:tblGrid>
            <w:tr w:rsidR="00C84727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A01DB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C84727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A01DB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C84727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C8472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C84727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C8472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84727">
              <w:trPr>
                <w:trHeight w:hRule="exact" w:val="2963"/>
              </w:trPr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A01DB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C84727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A01DB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5"/>
            </w:tblGrid>
            <w:tr w:rsidR="00C84727">
              <w:tc>
                <w:tcPr>
                  <w:tcW w:w="52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A01DB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A01DB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>р/с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__________;л/с__________);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бюджетной классификации дохода: 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</w:t>
                  </w:r>
                  <w:r>
                    <w:rPr>
                      <w:color w:val="000000"/>
                      <w:sz w:val="28"/>
                      <w:szCs w:val="28"/>
                    </w:rPr>
                    <w:t>д администратора дохода: _____.</w:t>
                  </w:r>
                </w:p>
              </w:tc>
            </w:tr>
          </w:tbl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</w:rPr>
            </w:pP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</w:t>
            </w:r>
            <w:r>
              <w:rPr>
                <w:color w:val="000000"/>
                <w:sz w:val="28"/>
                <w:szCs w:val="28"/>
              </w:rPr>
              <w:t>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3. Подписанное Сторонами Дополнительное соглашение вступает в силу </w:t>
            </w:r>
            <w:r>
              <w:rPr>
                <w:color w:val="000000"/>
                <w:sz w:val="28"/>
                <w:szCs w:val="28"/>
              </w:rPr>
              <w:t>с даты подписания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</w:t>
            </w:r>
            <w:r>
              <w:rPr>
                <w:color w:val="000000"/>
                <w:sz w:val="28"/>
                <w:szCs w:val="28"/>
              </w:rPr>
              <w:t>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  <w:sz w:val="28"/>
                <w:szCs w:val="28"/>
              </w:rPr>
            </w:pP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5"/>
            </w:tblGrid>
            <w:tr w:rsidR="00C84727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C8472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C84727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C8472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84727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A01DB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C84727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A01DB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</w:t>
                  </w:r>
                  <w:r>
                    <w:rPr>
                      <w:color w:val="000000"/>
                      <w:sz w:val="22"/>
                      <w:szCs w:val="22"/>
                    </w:rPr>
                    <w:t>ого образования Ленинградской области)</w:t>
                  </w:r>
                </w:p>
              </w:tc>
            </w:tr>
            <w:tr w:rsidR="00C84727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C8472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C84727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727" w:rsidRDefault="00C8472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84727" w:rsidRDefault="00C84727">
            <w:pPr>
              <w:spacing w:line="1" w:lineRule="auto"/>
            </w:pP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C84727">
            <w:pPr>
              <w:rPr>
                <w:color w:val="000000"/>
                <w:sz w:val="28"/>
                <w:szCs w:val="28"/>
              </w:rPr>
            </w:pPr>
          </w:p>
        </w:tc>
      </w:tr>
      <w:tr w:rsidR="00C8472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727" w:rsidRDefault="00A01D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&lt;1&gt;</w:t>
            </w:r>
            <w:r>
              <w:rPr>
                <w:color w:val="000000"/>
              </w:rPr>
              <w:t xml:space="preserve">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дополните</w:t>
            </w:r>
            <w:r>
              <w:rPr>
                <w:color w:val="000000"/>
              </w:rPr>
              <w:t>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изменение о</w:t>
            </w:r>
            <w:r>
              <w:rPr>
                <w:color w:val="000000"/>
              </w:rPr>
              <w:t>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</w:t>
            </w:r>
            <w:r>
              <w:rPr>
                <w:color w:val="000000"/>
              </w:rPr>
              <w:t>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настоящей Ти</w:t>
            </w:r>
            <w:r>
              <w:rPr>
                <w:color w:val="000000"/>
              </w:rPr>
              <w:t>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 xml:space="preserve">&lt;6&gt; В заголовочной части приложений к Дополнительному соглашению к </w:t>
            </w:r>
            <w:r>
              <w:rPr>
                <w:color w:val="000000"/>
              </w:rPr>
              <w:t>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A01DB5" w:rsidRDefault="00A01DB5"/>
    <w:sectPr w:rsidR="00A01DB5" w:rsidSect="00C84727">
      <w:headerReference w:type="default" r:id="rId16"/>
      <w:footerReference w:type="default" r:id="rId17"/>
      <w:pgSz w:w="11905" w:h="16837"/>
      <w:pgMar w:top="283" w:right="283" w:bottom="28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B5" w:rsidRDefault="00A01DB5" w:rsidP="00C84727">
      <w:r>
        <w:separator/>
      </w:r>
    </w:p>
  </w:endnote>
  <w:endnote w:type="continuationSeparator" w:id="0">
    <w:p w:rsidR="00A01DB5" w:rsidRDefault="00A01DB5" w:rsidP="00C8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4727">
      <w:trPr>
        <w:trHeight w:val="720"/>
      </w:trPr>
      <w:tc>
        <w:tcPr>
          <w:tcW w:w="10704" w:type="dxa"/>
        </w:tcPr>
        <w:p w:rsidR="00C84727" w:rsidRDefault="00C84727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84727">
      <w:trPr>
        <w:trHeight w:val="720"/>
      </w:trPr>
      <w:tc>
        <w:tcPr>
          <w:tcW w:w="15636" w:type="dxa"/>
        </w:tcPr>
        <w:p w:rsidR="00C84727" w:rsidRDefault="00C84727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4727">
      <w:trPr>
        <w:trHeight w:val="720"/>
      </w:trPr>
      <w:tc>
        <w:tcPr>
          <w:tcW w:w="10704" w:type="dxa"/>
        </w:tcPr>
        <w:p w:rsidR="00C84727" w:rsidRDefault="00C84727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4727">
      <w:trPr>
        <w:trHeight w:val="720"/>
      </w:trPr>
      <w:tc>
        <w:tcPr>
          <w:tcW w:w="10704" w:type="dxa"/>
        </w:tcPr>
        <w:p w:rsidR="00C84727" w:rsidRDefault="00C84727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4727">
      <w:trPr>
        <w:trHeight w:val="720"/>
      </w:trPr>
      <w:tc>
        <w:tcPr>
          <w:tcW w:w="10704" w:type="dxa"/>
        </w:tcPr>
        <w:p w:rsidR="00C84727" w:rsidRDefault="00C84727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4727">
      <w:trPr>
        <w:trHeight w:val="720"/>
      </w:trPr>
      <w:tc>
        <w:tcPr>
          <w:tcW w:w="10704" w:type="dxa"/>
        </w:tcPr>
        <w:p w:rsidR="00C84727" w:rsidRDefault="00C8472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B5" w:rsidRDefault="00A01DB5" w:rsidP="00C84727">
      <w:r>
        <w:separator/>
      </w:r>
    </w:p>
  </w:footnote>
  <w:footnote w:type="continuationSeparator" w:id="0">
    <w:p w:rsidR="00A01DB5" w:rsidRDefault="00A01DB5" w:rsidP="00C8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4727">
      <w:trPr>
        <w:trHeight w:val="720"/>
      </w:trPr>
      <w:tc>
        <w:tcPr>
          <w:tcW w:w="10704" w:type="dxa"/>
        </w:tcPr>
        <w:p w:rsidR="00C84727" w:rsidRDefault="00C8472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1DB5">
            <w:rPr>
              <w:color w:val="000000"/>
              <w:sz w:val="24"/>
              <w:szCs w:val="24"/>
            </w:rPr>
            <w:instrText>PAGE</w:instrText>
          </w:r>
          <w:r w:rsidR="00F266DD">
            <w:fldChar w:fldCharType="separate"/>
          </w:r>
          <w:r w:rsidR="00F266DD">
            <w:rPr>
              <w:noProof/>
              <w:color w:val="000000"/>
              <w:sz w:val="24"/>
              <w:szCs w:val="24"/>
            </w:rPr>
            <w:t>2</w:t>
          </w:r>
          <w:r>
            <w:fldChar w:fldCharType="end"/>
          </w:r>
        </w:p>
        <w:p w:rsidR="00C84727" w:rsidRDefault="00C84727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84727">
      <w:trPr>
        <w:trHeight w:val="720"/>
      </w:trPr>
      <w:tc>
        <w:tcPr>
          <w:tcW w:w="15636" w:type="dxa"/>
        </w:tcPr>
        <w:p w:rsidR="00C84727" w:rsidRDefault="00C8472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1DB5">
            <w:rPr>
              <w:color w:val="000000"/>
              <w:sz w:val="24"/>
              <w:szCs w:val="24"/>
            </w:rPr>
            <w:instrText>PAGE</w:instrText>
          </w:r>
          <w:r w:rsidR="00F266DD">
            <w:fldChar w:fldCharType="separate"/>
          </w:r>
          <w:r w:rsidR="00F266DD">
            <w:rPr>
              <w:noProof/>
              <w:color w:val="000000"/>
              <w:sz w:val="24"/>
              <w:szCs w:val="24"/>
            </w:rPr>
            <w:t>12</w:t>
          </w:r>
          <w:r>
            <w:fldChar w:fldCharType="end"/>
          </w:r>
        </w:p>
        <w:p w:rsidR="00C84727" w:rsidRDefault="00C84727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4727">
      <w:trPr>
        <w:trHeight w:val="720"/>
      </w:trPr>
      <w:tc>
        <w:tcPr>
          <w:tcW w:w="10704" w:type="dxa"/>
        </w:tcPr>
        <w:p w:rsidR="00C84727" w:rsidRDefault="00C8472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1DB5">
            <w:rPr>
              <w:color w:val="000000"/>
              <w:sz w:val="24"/>
              <w:szCs w:val="24"/>
            </w:rPr>
            <w:instrText>PAGE</w:instrText>
          </w:r>
          <w:r w:rsidR="00F266DD">
            <w:fldChar w:fldCharType="separate"/>
          </w:r>
          <w:r w:rsidR="00F266DD">
            <w:rPr>
              <w:noProof/>
              <w:color w:val="000000"/>
              <w:sz w:val="24"/>
              <w:szCs w:val="24"/>
            </w:rPr>
            <w:t>13</w:t>
          </w:r>
          <w:r>
            <w:fldChar w:fldCharType="end"/>
          </w:r>
        </w:p>
        <w:p w:rsidR="00C84727" w:rsidRDefault="00C84727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4727">
      <w:trPr>
        <w:trHeight w:val="720"/>
      </w:trPr>
      <w:tc>
        <w:tcPr>
          <w:tcW w:w="10704" w:type="dxa"/>
        </w:tcPr>
        <w:p w:rsidR="00C84727" w:rsidRDefault="00C8472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1DB5">
            <w:rPr>
              <w:color w:val="000000"/>
              <w:sz w:val="24"/>
              <w:szCs w:val="24"/>
            </w:rPr>
            <w:instrText>PAGE</w:instrText>
          </w:r>
          <w:r w:rsidR="00F266DD">
            <w:fldChar w:fldCharType="separate"/>
          </w:r>
          <w:r w:rsidR="00F266DD">
            <w:rPr>
              <w:noProof/>
              <w:color w:val="000000"/>
              <w:sz w:val="24"/>
              <w:szCs w:val="24"/>
            </w:rPr>
            <w:t>15</w:t>
          </w:r>
          <w:r>
            <w:fldChar w:fldCharType="end"/>
          </w:r>
        </w:p>
        <w:p w:rsidR="00C84727" w:rsidRDefault="00C84727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4727">
      <w:trPr>
        <w:trHeight w:val="720"/>
      </w:trPr>
      <w:tc>
        <w:tcPr>
          <w:tcW w:w="10704" w:type="dxa"/>
        </w:tcPr>
        <w:p w:rsidR="00C84727" w:rsidRDefault="00C8472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1DB5">
            <w:rPr>
              <w:color w:val="000000"/>
              <w:sz w:val="24"/>
              <w:szCs w:val="24"/>
            </w:rPr>
            <w:instrText>PAGE</w:instrText>
          </w:r>
          <w:r w:rsidR="00F266DD">
            <w:fldChar w:fldCharType="separate"/>
          </w:r>
          <w:r w:rsidR="00F266DD">
            <w:rPr>
              <w:noProof/>
              <w:color w:val="000000"/>
              <w:sz w:val="24"/>
              <w:szCs w:val="24"/>
            </w:rPr>
            <w:t>16</w:t>
          </w:r>
          <w:r>
            <w:fldChar w:fldCharType="end"/>
          </w:r>
        </w:p>
        <w:p w:rsidR="00C84727" w:rsidRDefault="00C84727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4727">
      <w:trPr>
        <w:trHeight w:val="720"/>
      </w:trPr>
      <w:tc>
        <w:tcPr>
          <w:tcW w:w="10704" w:type="dxa"/>
        </w:tcPr>
        <w:p w:rsidR="00C84727" w:rsidRDefault="00C8472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01DB5">
            <w:rPr>
              <w:color w:val="000000"/>
              <w:sz w:val="24"/>
              <w:szCs w:val="24"/>
            </w:rPr>
            <w:instrText>PAGE</w:instrText>
          </w:r>
          <w:r w:rsidR="00F266DD">
            <w:fldChar w:fldCharType="separate"/>
          </w:r>
          <w:r w:rsidR="00F266DD">
            <w:rPr>
              <w:noProof/>
              <w:color w:val="000000"/>
              <w:sz w:val="24"/>
              <w:szCs w:val="24"/>
            </w:rPr>
            <w:t>19</w:t>
          </w:r>
          <w:r>
            <w:fldChar w:fldCharType="end"/>
          </w:r>
        </w:p>
        <w:p w:rsidR="00C84727" w:rsidRDefault="00C8472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27"/>
    <w:rsid w:val="00A01DB5"/>
    <w:rsid w:val="00C84727"/>
    <w:rsid w:val="00F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A4CF0-6B3C-4D1F-A608-E33C427A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847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6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Buhgalter1</cp:lastModifiedBy>
  <cp:revision>2</cp:revision>
  <cp:lastPrinted>2021-04-08T13:43:00Z</cp:lastPrinted>
  <dcterms:created xsi:type="dcterms:W3CDTF">2021-04-08T13:46:00Z</dcterms:created>
  <dcterms:modified xsi:type="dcterms:W3CDTF">2021-04-08T13:46:00Z</dcterms:modified>
</cp:coreProperties>
</file>